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C87E9" w14:textId="77777777" w:rsidR="00DE40DB" w:rsidRDefault="00DE40DB" w:rsidP="00CC7610">
      <w:pPr>
        <w:spacing w:after="0" w:line="480" w:lineRule="auto"/>
        <w:contextualSpacing/>
        <w:jc w:val="center"/>
        <w:rPr>
          <w:rFonts w:cs="Times New Roman"/>
          <w:szCs w:val="24"/>
        </w:rPr>
      </w:pPr>
    </w:p>
    <w:p w14:paraId="72C6EA28" w14:textId="77777777" w:rsidR="00DE40DB" w:rsidRDefault="00DE40DB" w:rsidP="00CC7610">
      <w:pPr>
        <w:spacing w:after="0" w:line="480" w:lineRule="auto"/>
        <w:contextualSpacing/>
        <w:jc w:val="center"/>
        <w:rPr>
          <w:rFonts w:cs="Times New Roman"/>
          <w:szCs w:val="24"/>
        </w:rPr>
      </w:pPr>
    </w:p>
    <w:p w14:paraId="5411EBAE" w14:textId="42CD21F2" w:rsidR="00DE40DB" w:rsidRDefault="00DE40DB" w:rsidP="00CC7610">
      <w:pPr>
        <w:spacing w:after="0" w:line="480" w:lineRule="auto"/>
        <w:contextualSpacing/>
        <w:jc w:val="center"/>
        <w:rPr>
          <w:rFonts w:cs="Times New Roman"/>
          <w:szCs w:val="24"/>
        </w:rPr>
      </w:pPr>
    </w:p>
    <w:p w14:paraId="529C064C" w14:textId="46AA7317" w:rsidR="00CC7610" w:rsidRDefault="00CC7610" w:rsidP="00CC7610">
      <w:pPr>
        <w:spacing w:after="0" w:line="480" w:lineRule="auto"/>
        <w:contextualSpacing/>
        <w:jc w:val="center"/>
        <w:rPr>
          <w:rFonts w:cs="Times New Roman"/>
          <w:szCs w:val="24"/>
        </w:rPr>
      </w:pPr>
    </w:p>
    <w:p w14:paraId="140E1F43" w14:textId="7CD20203" w:rsidR="00CC7610" w:rsidRDefault="00CC7610" w:rsidP="00CC7610">
      <w:pPr>
        <w:spacing w:after="0" w:line="480" w:lineRule="auto"/>
        <w:contextualSpacing/>
        <w:jc w:val="center"/>
        <w:rPr>
          <w:rFonts w:cs="Times New Roman"/>
          <w:szCs w:val="24"/>
        </w:rPr>
      </w:pPr>
    </w:p>
    <w:p w14:paraId="1FA42188" w14:textId="76A71C5E" w:rsidR="00CC7610" w:rsidRDefault="00CC7610" w:rsidP="00CC7610">
      <w:pPr>
        <w:spacing w:after="0" w:line="480" w:lineRule="auto"/>
        <w:contextualSpacing/>
        <w:jc w:val="center"/>
        <w:rPr>
          <w:rFonts w:cs="Times New Roman"/>
          <w:szCs w:val="24"/>
        </w:rPr>
      </w:pPr>
    </w:p>
    <w:p w14:paraId="03F84AAC" w14:textId="67555A29" w:rsidR="00CC7610" w:rsidRDefault="00CC7610" w:rsidP="00CC7610">
      <w:pPr>
        <w:spacing w:after="0" w:line="480" w:lineRule="auto"/>
        <w:contextualSpacing/>
        <w:jc w:val="center"/>
        <w:rPr>
          <w:rFonts w:cs="Times New Roman"/>
          <w:szCs w:val="24"/>
        </w:rPr>
      </w:pPr>
    </w:p>
    <w:p w14:paraId="5070C124" w14:textId="10AE71A6" w:rsidR="00CC7610" w:rsidRDefault="00CC7610" w:rsidP="00CC7610">
      <w:pPr>
        <w:spacing w:after="0" w:line="480" w:lineRule="auto"/>
        <w:contextualSpacing/>
        <w:jc w:val="center"/>
        <w:rPr>
          <w:rFonts w:cs="Times New Roman"/>
          <w:szCs w:val="24"/>
        </w:rPr>
      </w:pPr>
    </w:p>
    <w:p w14:paraId="0F4AB28B" w14:textId="77777777" w:rsidR="00CC7610" w:rsidRDefault="00CC7610" w:rsidP="00CC7610">
      <w:pPr>
        <w:spacing w:after="0" w:line="480" w:lineRule="auto"/>
        <w:contextualSpacing/>
        <w:jc w:val="center"/>
        <w:rPr>
          <w:rFonts w:cs="Times New Roman"/>
          <w:szCs w:val="24"/>
        </w:rPr>
      </w:pPr>
    </w:p>
    <w:p w14:paraId="4E8B4275" w14:textId="77777777" w:rsidR="00DE40DB" w:rsidRDefault="00DE40DB" w:rsidP="00CC7610">
      <w:pPr>
        <w:spacing w:after="0" w:line="480" w:lineRule="auto"/>
        <w:contextualSpacing/>
        <w:jc w:val="center"/>
        <w:rPr>
          <w:rFonts w:cs="Times New Roman"/>
          <w:szCs w:val="24"/>
        </w:rPr>
      </w:pPr>
    </w:p>
    <w:p w14:paraId="4F8170F3" w14:textId="77777777" w:rsidR="00DE40DB" w:rsidRDefault="00DE40DB" w:rsidP="00CC7610">
      <w:pPr>
        <w:spacing w:after="0" w:line="480" w:lineRule="auto"/>
        <w:contextualSpacing/>
        <w:jc w:val="center"/>
        <w:rPr>
          <w:rFonts w:cs="Times New Roman"/>
          <w:szCs w:val="24"/>
        </w:rPr>
      </w:pPr>
    </w:p>
    <w:p w14:paraId="33D6EA14" w14:textId="77777777" w:rsidR="00DE40DB" w:rsidRDefault="00DE40DB" w:rsidP="00CC7610">
      <w:pPr>
        <w:spacing w:after="0" w:line="480" w:lineRule="auto"/>
        <w:contextualSpacing/>
        <w:jc w:val="center"/>
        <w:rPr>
          <w:rFonts w:cs="Times New Roman"/>
          <w:szCs w:val="24"/>
        </w:rPr>
      </w:pPr>
      <w:r>
        <w:rPr>
          <w:rFonts w:cs="Times New Roman"/>
          <w:szCs w:val="24"/>
        </w:rPr>
        <w:t xml:space="preserve">Questions </w:t>
      </w:r>
    </w:p>
    <w:p w14:paraId="56DEC5E6" w14:textId="77777777" w:rsidR="00DE40DB" w:rsidRDefault="00DE40DB" w:rsidP="00CC7610">
      <w:pPr>
        <w:spacing w:after="0" w:line="480" w:lineRule="auto"/>
        <w:contextualSpacing/>
        <w:jc w:val="center"/>
        <w:rPr>
          <w:rFonts w:cs="Times New Roman"/>
          <w:szCs w:val="24"/>
        </w:rPr>
      </w:pPr>
      <w:r>
        <w:rPr>
          <w:rFonts w:cs="Times New Roman"/>
          <w:szCs w:val="24"/>
        </w:rPr>
        <w:t>Student:</w:t>
      </w:r>
    </w:p>
    <w:p w14:paraId="2ADF7504" w14:textId="77777777" w:rsidR="00DE40DB" w:rsidRDefault="00DE40DB" w:rsidP="00CC7610">
      <w:pPr>
        <w:spacing w:after="0" w:line="480" w:lineRule="auto"/>
        <w:contextualSpacing/>
        <w:jc w:val="center"/>
      </w:pPr>
      <w:bookmarkStart w:id="0" w:name="_GoBack"/>
      <w:bookmarkEnd w:id="0"/>
      <w:r>
        <w:rPr>
          <w:rFonts w:cs="Times New Roman"/>
          <w:szCs w:val="24"/>
        </w:rPr>
        <w:t>Institutional Affiliation:</w:t>
      </w:r>
    </w:p>
    <w:p w14:paraId="5998F1BE" w14:textId="77777777" w:rsidR="00DE40DB" w:rsidRDefault="00DE40DB" w:rsidP="00CC7610">
      <w:pPr>
        <w:spacing w:after="0" w:line="480" w:lineRule="auto"/>
        <w:contextualSpacing/>
        <w:jc w:val="left"/>
        <w:rPr>
          <w:rFonts w:eastAsia="Times New Roman"/>
          <w:b/>
          <w:color w:val="000000"/>
        </w:rPr>
      </w:pPr>
    </w:p>
    <w:p w14:paraId="5B7EF750" w14:textId="77777777" w:rsidR="00DE40DB" w:rsidRDefault="00DE40DB" w:rsidP="00CC7610">
      <w:pPr>
        <w:spacing w:after="0" w:line="480" w:lineRule="auto"/>
        <w:contextualSpacing/>
        <w:jc w:val="left"/>
        <w:rPr>
          <w:rFonts w:eastAsia="Times New Roman"/>
          <w:b/>
          <w:color w:val="000000"/>
        </w:rPr>
      </w:pPr>
      <w:r>
        <w:rPr>
          <w:rFonts w:eastAsia="Times New Roman"/>
          <w:b/>
          <w:color w:val="000000"/>
        </w:rPr>
        <w:br w:type="page"/>
      </w:r>
    </w:p>
    <w:p w14:paraId="30E2AA7B" w14:textId="77777777" w:rsidR="00DE40DB" w:rsidRPr="00DE40DB" w:rsidRDefault="00DE40DB" w:rsidP="00CC7610">
      <w:pPr>
        <w:numPr>
          <w:ilvl w:val="0"/>
          <w:numId w:val="1"/>
        </w:numPr>
        <w:spacing w:after="0" w:line="480" w:lineRule="auto"/>
        <w:contextualSpacing/>
        <w:jc w:val="left"/>
        <w:rPr>
          <w:rFonts w:eastAsia="Times New Roman"/>
          <w:b/>
          <w:color w:val="000000"/>
        </w:rPr>
      </w:pPr>
      <w:r w:rsidRPr="00DE40DB">
        <w:rPr>
          <w:rFonts w:eastAsia="Times New Roman"/>
          <w:b/>
          <w:color w:val="000000"/>
        </w:rPr>
        <w:lastRenderedPageBreak/>
        <w:t>What is the difference between fat-soluble and water-soluble vitamins in deficiency and toxicity levels? How do deficiencies and toxicities occur for each?</w:t>
      </w:r>
    </w:p>
    <w:p w14:paraId="02B2F22D" w14:textId="6E3CE0A9" w:rsidR="006577A0" w:rsidRDefault="00DE40DB" w:rsidP="00CC7610">
      <w:pPr>
        <w:spacing w:after="0" w:line="480" w:lineRule="auto"/>
        <w:ind w:firstLine="720"/>
        <w:contextualSpacing/>
      </w:pPr>
      <w:r>
        <w:t>Water-soluble vitamins include all categories of vitamin C and B and are readily absorbed in the body. If someone consumes more than them, the excess is not stored hence</w:t>
      </w:r>
      <w:r w:rsidR="008353F7">
        <w:t xml:space="preserve">, </w:t>
      </w:r>
      <w:r>
        <w:t>excreted. Excretion makes the risk of overdose to be as low as possible, but an individual has to constantly replenish the water-soluble vitamins stock</w:t>
      </w:r>
      <w:r w:rsidR="00B35344">
        <w:t xml:space="preserve"> (</w:t>
      </w:r>
      <w:r w:rsidR="00B35344" w:rsidRPr="00B35344">
        <w:rPr>
          <w:rFonts w:eastAsia="Times New Roman" w:cs="Times New Roman"/>
          <w:szCs w:val="24"/>
          <w:lang w:eastAsia="en-GB"/>
        </w:rPr>
        <w:t>Taguchi,</w:t>
      </w:r>
      <w:r w:rsidR="00B35344">
        <w:rPr>
          <w:rFonts w:eastAsia="Times New Roman" w:cs="Times New Roman"/>
          <w:szCs w:val="24"/>
          <w:lang w:eastAsia="en-GB"/>
        </w:rPr>
        <w:t xml:space="preserve"> </w:t>
      </w:r>
      <w:proofErr w:type="spellStart"/>
      <w:r w:rsidR="00B35344">
        <w:rPr>
          <w:rFonts w:eastAsia="Times New Roman" w:cs="Times New Roman"/>
          <w:szCs w:val="24"/>
          <w:lang w:eastAsia="en-GB"/>
        </w:rPr>
        <w:t>Fukusaki</w:t>
      </w:r>
      <w:proofErr w:type="spellEnd"/>
      <w:r w:rsidR="00B35344">
        <w:rPr>
          <w:rFonts w:eastAsia="Times New Roman" w:cs="Times New Roman"/>
          <w:szCs w:val="24"/>
          <w:lang w:eastAsia="en-GB"/>
        </w:rPr>
        <w:t xml:space="preserve">, &amp; </w:t>
      </w:r>
      <w:proofErr w:type="spellStart"/>
      <w:r w:rsidR="00B35344">
        <w:rPr>
          <w:rFonts w:eastAsia="Times New Roman" w:cs="Times New Roman"/>
          <w:szCs w:val="24"/>
          <w:lang w:eastAsia="en-GB"/>
        </w:rPr>
        <w:t>Bamba</w:t>
      </w:r>
      <w:proofErr w:type="spellEnd"/>
      <w:r w:rsidR="00B35344">
        <w:rPr>
          <w:rFonts w:eastAsia="Times New Roman" w:cs="Times New Roman"/>
          <w:szCs w:val="24"/>
          <w:lang w:eastAsia="en-GB"/>
        </w:rPr>
        <w:t xml:space="preserve">, </w:t>
      </w:r>
      <w:r w:rsidR="00B35344" w:rsidRPr="00B35344">
        <w:rPr>
          <w:rFonts w:eastAsia="Times New Roman" w:cs="Times New Roman"/>
          <w:szCs w:val="24"/>
          <w:lang w:eastAsia="en-GB"/>
        </w:rPr>
        <w:t>2014).</w:t>
      </w:r>
      <w:r>
        <w:t xml:space="preserve"> Fat-soluble vitamins, on the other hand, include all categories of vitamin D, E, K and A and they require the help of bile acids to be stored in the body. However, the body keeps the excess consumed readily for future use. Lots of care need to be taken when absorbing these vitamins since excess consumption of them will stay in the body for long hence leading to toxicity. Therefore, a well-balanced budget is required. Both water-soluble and fat-soluble vitamins need to be taken on a daily basis to </w:t>
      </w:r>
      <w:r w:rsidR="00374675">
        <w:t>avoid</w:t>
      </w:r>
      <w:r>
        <w:t xml:space="preserve"> deficiency in the body hence making an individual </w:t>
      </w:r>
      <w:r w:rsidR="00374675">
        <w:t>body function healthfully and efficiently</w:t>
      </w:r>
      <w:r w:rsidR="00B35344">
        <w:t xml:space="preserve"> (</w:t>
      </w:r>
      <w:r w:rsidR="00B35344" w:rsidRPr="00B35344">
        <w:rPr>
          <w:rFonts w:eastAsia="Times New Roman" w:cs="Times New Roman"/>
          <w:szCs w:val="24"/>
          <w:lang w:eastAsia="en-GB"/>
        </w:rPr>
        <w:t>Taguchi,</w:t>
      </w:r>
      <w:r w:rsidR="00B35344">
        <w:rPr>
          <w:rFonts w:eastAsia="Times New Roman" w:cs="Times New Roman"/>
          <w:szCs w:val="24"/>
          <w:lang w:eastAsia="en-GB"/>
        </w:rPr>
        <w:t xml:space="preserve"> </w:t>
      </w:r>
      <w:proofErr w:type="spellStart"/>
      <w:r w:rsidR="00B35344">
        <w:rPr>
          <w:rFonts w:eastAsia="Times New Roman" w:cs="Times New Roman"/>
          <w:szCs w:val="24"/>
          <w:lang w:eastAsia="en-GB"/>
        </w:rPr>
        <w:t>Fukusaki</w:t>
      </w:r>
      <w:proofErr w:type="spellEnd"/>
      <w:r w:rsidR="00B35344">
        <w:rPr>
          <w:rFonts w:eastAsia="Times New Roman" w:cs="Times New Roman"/>
          <w:szCs w:val="24"/>
          <w:lang w:eastAsia="en-GB"/>
        </w:rPr>
        <w:t xml:space="preserve">, &amp; </w:t>
      </w:r>
      <w:proofErr w:type="spellStart"/>
      <w:r w:rsidR="00B35344">
        <w:rPr>
          <w:rFonts w:eastAsia="Times New Roman" w:cs="Times New Roman"/>
          <w:szCs w:val="24"/>
          <w:lang w:eastAsia="en-GB"/>
        </w:rPr>
        <w:t>Bamba</w:t>
      </w:r>
      <w:proofErr w:type="spellEnd"/>
      <w:r w:rsidR="00B35344">
        <w:rPr>
          <w:rFonts w:eastAsia="Times New Roman" w:cs="Times New Roman"/>
          <w:szCs w:val="24"/>
          <w:lang w:eastAsia="en-GB"/>
        </w:rPr>
        <w:t xml:space="preserve">, </w:t>
      </w:r>
      <w:r w:rsidR="00B35344" w:rsidRPr="00B35344">
        <w:rPr>
          <w:rFonts w:eastAsia="Times New Roman" w:cs="Times New Roman"/>
          <w:szCs w:val="24"/>
          <w:lang w:eastAsia="en-GB"/>
        </w:rPr>
        <w:t>2014).</w:t>
      </w:r>
    </w:p>
    <w:p w14:paraId="26015262" w14:textId="77777777" w:rsidR="00B35344" w:rsidRDefault="00DE40DB" w:rsidP="00CC7610">
      <w:pPr>
        <w:spacing w:after="0" w:line="480" w:lineRule="auto"/>
        <w:contextualSpacing/>
        <w:jc w:val="center"/>
      </w:pPr>
      <w:r>
        <w:t>Reference</w:t>
      </w:r>
    </w:p>
    <w:p w14:paraId="1BC24FA0" w14:textId="77777777" w:rsidR="00B35344" w:rsidRPr="00B35344" w:rsidRDefault="00DE40DB" w:rsidP="00CC7610">
      <w:pPr>
        <w:spacing w:after="0" w:line="480" w:lineRule="auto"/>
        <w:ind w:left="720" w:hanging="720"/>
        <w:contextualSpacing/>
        <w:rPr>
          <w:rFonts w:eastAsia="Times New Roman" w:cs="Times New Roman"/>
          <w:szCs w:val="24"/>
          <w:lang w:eastAsia="en-GB"/>
        </w:rPr>
      </w:pPr>
      <w:r w:rsidRPr="00B35344">
        <w:rPr>
          <w:rFonts w:eastAsia="Times New Roman" w:cs="Times New Roman"/>
          <w:szCs w:val="24"/>
          <w:lang w:eastAsia="en-GB"/>
        </w:rPr>
        <w:t xml:space="preserve">Taguchi, K., </w:t>
      </w:r>
      <w:proofErr w:type="spellStart"/>
      <w:r w:rsidRPr="00B35344">
        <w:rPr>
          <w:rFonts w:eastAsia="Times New Roman" w:cs="Times New Roman"/>
          <w:szCs w:val="24"/>
          <w:lang w:eastAsia="en-GB"/>
        </w:rPr>
        <w:t>Fukusaki</w:t>
      </w:r>
      <w:proofErr w:type="spellEnd"/>
      <w:r w:rsidRPr="00B35344">
        <w:rPr>
          <w:rFonts w:eastAsia="Times New Roman" w:cs="Times New Roman"/>
          <w:szCs w:val="24"/>
          <w:lang w:eastAsia="en-GB"/>
        </w:rPr>
        <w:t xml:space="preserve">, E., &amp; </w:t>
      </w:r>
      <w:proofErr w:type="spellStart"/>
      <w:r w:rsidRPr="00B35344">
        <w:rPr>
          <w:rFonts w:eastAsia="Times New Roman" w:cs="Times New Roman"/>
          <w:szCs w:val="24"/>
          <w:lang w:eastAsia="en-GB"/>
        </w:rPr>
        <w:t>Bamba</w:t>
      </w:r>
      <w:proofErr w:type="spellEnd"/>
      <w:r w:rsidRPr="00B35344">
        <w:rPr>
          <w:rFonts w:eastAsia="Times New Roman" w:cs="Times New Roman"/>
          <w:szCs w:val="24"/>
          <w:lang w:eastAsia="en-GB"/>
        </w:rPr>
        <w:t xml:space="preserve">, T. (2014). Simultaneous analysis for water-and fat-soluble vitamins by a novel single chromatography technique unifying supercritical fluid chromatography and liquid chromatography. </w:t>
      </w:r>
      <w:r w:rsidRPr="00B35344">
        <w:rPr>
          <w:rFonts w:eastAsia="Times New Roman" w:cs="Times New Roman"/>
          <w:i/>
          <w:iCs/>
          <w:szCs w:val="24"/>
          <w:lang w:eastAsia="en-GB"/>
        </w:rPr>
        <w:t>Journal of Chromatography A</w:t>
      </w:r>
      <w:r w:rsidRPr="00B35344">
        <w:rPr>
          <w:rFonts w:eastAsia="Times New Roman" w:cs="Times New Roman"/>
          <w:szCs w:val="24"/>
          <w:lang w:eastAsia="en-GB"/>
        </w:rPr>
        <w:t xml:space="preserve">, </w:t>
      </w:r>
      <w:r w:rsidRPr="00B35344">
        <w:rPr>
          <w:rFonts w:eastAsia="Times New Roman" w:cs="Times New Roman"/>
          <w:i/>
          <w:iCs/>
          <w:szCs w:val="24"/>
          <w:lang w:eastAsia="en-GB"/>
        </w:rPr>
        <w:t>1362</w:t>
      </w:r>
      <w:r w:rsidRPr="00B35344">
        <w:rPr>
          <w:rFonts w:eastAsia="Times New Roman" w:cs="Times New Roman"/>
          <w:szCs w:val="24"/>
          <w:lang w:eastAsia="en-GB"/>
        </w:rPr>
        <w:t>, 270-277.</w:t>
      </w:r>
    </w:p>
    <w:p w14:paraId="08756553" w14:textId="77777777" w:rsidR="00DE40DB" w:rsidRPr="00DE40DB" w:rsidRDefault="00DE40DB" w:rsidP="00CC7610">
      <w:pPr>
        <w:numPr>
          <w:ilvl w:val="0"/>
          <w:numId w:val="1"/>
        </w:numPr>
        <w:spacing w:after="0" w:line="480" w:lineRule="auto"/>
        <w:contextualSpacing/>
        <w:jc w:val="left"/>
        <w:rPr>
          <w:rFonts w:eastAsia="Times New Roman"/>
          <w:b/>
          <w:color w:val="000000"/>
        </w:rPr>
      </w:pPr>
      <w:r w:rsidRPr="00DE40DB">
        <w:rPr>
          <w:rFonts w:eastAsia="Times New Roman"/>
          <w:b/>
          <w:color w:val="000000"/>
        </w:rPr>
        <w:t>Respond to the following case studies. In your reply posts, you should post at least one response to a peer who did the other case study.</w:t>
      </w:r>
    </w:p>
    <w:p w14:paraId="5A8926E6" w14:textId="77777777" w:rsidR="00DE40DB" w:rsidRPr="00DE40DB" w:rsidRDefault="00DE40DB" w:rsidP="00CC7610">
      <w:pPr>
        <w:spacing w:after="0" w:line="480" w:lineRule="auto"/>
        <w:ind w:left="360"/>
        <w:contextualSpacing/>
        <w:rPr>
          <w:rFonts w:eastAsia="Times New Roman"/>
          <w:b/>
          <w:color w:val="000000"/>
        </w:rPr>
      </w:pPr>
      <w:r w:rsidRPr="00DE40DB">
        <w:rPr>
          <w:rFonts w:eastAsia="Times New Roman"/>
          <w:b/>
          <w:color w:val="000000"/>
          <w:bdr w:val="none" w:sz="0" w:space="0" w:color="auto" w:frame="1"/>
        </w:rPr>
        <w:t xml:space="preserve">Tonya is 5' 3" tall, weighs 151 pounds, and is 38 years old. Her waist circumference is 37". Her life is busy but sedentary. She simply does not have the time or energy to stay with an exercise program after working all day as a receptionist and caring for her two socially active children. She would like to lose about 20 pounds but knows dieting doesn’t work for her—all the diets she has tried in the past have left her </w:t>
      </w:r>
      <w:r w:rsidRPr="00DE40DB">
        <w:rPr>
          <w:rFonts w:eastAsia="Times New Roman"/>
          <w:b/>
          <w:color w:val="000000"/>
          <w:bdr w:val="none" w:sz="0" w:space="0" w:color="auto" w:frame="1"/>
        </w:rPr>
        <w:lastRenderedPageBreak/>
        <w:t>hungry and feeling deprived. Losing weight has taken on greater importance since her doctor told her that both her blood pressure and glucose levels are at “borderline” high levels. </w:t>
      </w:r>
    </w:p>
    <w:p w14:paraId="5AA62B62" w14:textId="77777777" w:rsidR="00DE40DB" w:rsidRPr="00DE40DB" w:rsidRDefault="00DE40DB" w:rsidP="00CC7610">
      <w:pPr>
        <w:numPr>
          <w:ilvl w:val="0"/>
          <w:numId w:val="2"/>
        </w:numPr>
        <w:spacing w:after="0" w:line="480" w:lineRule="auto"/>
        <w:ind w:left="1080"/>
        <w:contextualSpacing/>
        <w:jc w:val="left"/>
        <w:rPr>
          <w:rFonts w:eastAsia="Times New Roman"/>
          <w:b/>
          <w:color w:val="000000"/>
        </w:rPr>
      </w:pPr>
      <w:r w:rsidRPr="00DE40DB">
        <w:rPr>
          <w:rFonts w:eastAsia="Times New Roman"/>
          <w:b/>
          <w:color w:val="000000"/>
          <w:bdr w:val="none" w:sz="0" w:space="0" w:color="auto" w:frame="1"/>
        </w:rPr>
        <w:t>What is her BMI? Assess her weight based on BMI. </w:t>
      </w:r>
    </w:p>
    <w:p w14:paraId="33DB22AC" w14:textId="77777777" w:rsidR="00DE40DB" w:rsidRPr="00DE40DB" w:rsidRDefault="00DE40DB" w:rsidP="00CC7610">
      <w:pPr>
        <w:numPr>
          <w:ilvl w:val="0"/>
          <w:numId w:val="2"/>
        </w:numPr>
        <w:spacing w:after="0" w:line="480" w:lineRule="auto"/>
        <w:ind w:left="1080"/>
        <w:contextualSpacing/>
        <w:jc w:val="left"/>
        <w:rPr>
          <w:rFonts w:eastAsia="Times New Roman"/>
          <w:b/>
          <w:color w:val="000000"/>
        </w:rPr>
      </w:pPr>
      <w:r w:rsidRPr="00DE40DB">
        <w:rPr>
          <w:rFonts w:eastAsia="Times New Roman"/>
          <w:b/>
          <w:color w:val="000000"/>
          <w:bdr w:val="none" w:sz="0" w:space="0" w:color="auto" w:frame="1"/>
        </w:rPr>
        <w:t>Estimate her total calorie requirements using the rule-of-thumb method of calculating BMR and adding calories for a sedentary lifestyle. How does it compare to the level of calories recommended in Table 7.3 of your text for a woman her age with a sedentary lifestyle? Which calorie level do you think is most accurate? Why? </w:t>
      </w:r>
    </w:p>
    <w:p w14:paraId="78CDF2AD" w14:textId="77777777" w:rsidR="00DE40DB" w:rsidRPr="00DE40DB" w:rsidRDefault="00DE40DB" w:rsidP="00CC7610">
      <w:pPr>
        <w:numPr>
          <w:ilvl w:val="0"/>
          <w:numId w:val="2"/>
        </w:numPr>
        <w:spacing w:after="0" w:line="480" w:lineRule="auto"/>
        <w:ind w:left="1080"/>
        <w:contextualSpacing/>
        <w:jc w:val="left"/>
        <w:rPr>
          <w:rFonts w:eastAsia="Times New Roman"/>
          <w:b/>
          <w:color w:val="000000"/>
        </w:rPr>
      </w:pPr>
      <w:r w:rsidRPr="00DE40DB">
        <w:rPr>
          <w:rFonts w:eastAsia="Times New Roman"/>
          <w:b/>
          <w:color w:val="000000"/>
          <w:bdr w:val="none" w:sz="0" w:space="0" w:color="auto" w:frame="1"/>
        </w:rPr>
        <w:t>How many calories would she need to eat to lose 1 pound of weight per week if her activity level stays the same? Two pounds per week? Is a 2-pound weight loss per week a reasonable goal? </w:t>
      </w:r>
    </w:p>
    <w:p w14:paraId="0FE3E105" w14:textId="77777777" w:rsidR="00DE40DB" w:rsidRPr="00DE40DB" w:rsidRDefault="00DE40DB" w:rsidP="00CC7610">
      <w:pPr>
        <w:numPr>
          <w:ilvl w:val="0"/>
          <w:numId w:val="2"/>
        </w:numPr>
        <w:spacing w:after="0" w:line="480" w:lineRule="auto"/>
        <w:ind w:left="1080"/>
        <w:contextualSpacing/>
        <w:jc w:val="left"/>
        <w:rPr>
          <w:rFonts w:eastAsia="Times New Roman"/>
          <w:b/>
          <w:color w:val="000000"/>
        </w:rPr>
      </w:pPr>
      <w:r w:rsidRPr="00DE40DB">
        <w:rPr>
          <w:rFonts w:eastAsia="Times New Roman"/>
          <w:b/>
          <w:color w:val="000000"/>
          <w:bdr w:val="none" w:sz="0" w:space="0" w:color="auto" w:frame="1"/>
        </w:rPr>
        <w:t>To help her avoid feeling hungry while eating fewer calories, what foods would you recommend she consume more of? She knows she should drink fewer soft drinks. What advice would you give her to help her do that?</w:t>
      </w:r>
    </w:p>
    <w:p w14:paraId="343C2E32" w14:textId="77777777" w:rsidR="00B35344" w:rsidRPr="00DE40DB" w:rsidRDefault="00DE40DB" w:rsidP="00CC7610">
      <w:pPr>
        <w:spacing w:after="0" w:line="480" w:lineRule="auto"/>
        <w:contextualSpacing/>
        <w:rPr>
          <w:b/>
        </w:rPr>
      </w:pPr>
      <w:r w:rsidRPr="00DE40DB">
        <w:rPr>
          <w:b/>
        </w:rPr>
        <w:t>Response</w:t>
      </w:r>
    </w:p>
    <w:p w14:paraId="03C5028B" w14:textId="11D3C59F" w:rsidR="00B35344" w:rsidRPr="00D03009" w:rsidRDefault="00DE40DB" w:rsidP="00CC7610">
      <w:pPr>
        <w:spacing w:after="0" w:line="480" w:lineRule="auto"/>
        <w:ind w:firstLine="720"/>
        <w:contextualSpacing/>
        <w:rPr>
          <w:rFonts w:eastAsia="Times New Roman"/>
        </w:rPr>
      </w:pPr>
      <w:r>
        <w:rPr>
          <w:rFonts w:eastAsia="Times New Roman"/>
        </w:rPr>
        <w:t xml:space="preserve">Tonya's BMI is 26.7. </w:t>
      </w:r>
      <w:r w:rsidR="008353F7">
        <w:rPr>
          <w:rFonts w:eastAsia="Times New Roman"/>
        </w:rPr>
        <w:t>S</w:t>
      </w:r>
      <w:r>
        <w:rPr>
          <w:rFonts w:eastAsia="Times New Roman"/>
        </w:rPr>
        <w:t xml:space="preserve">he is overweight since her BMI is between the overweight category that is 25-29.9. </w:t>
      </w:r>
      <w:r w:rsidR="008353F7">
        <w:rPr>
          <w:rFonts w:eastAsia="Times New Roman"/>
        </w:rPr>
        <w:t>H</w:t>
      </w:r>
      <w:r>
        <w:rPr>
          <w:rFonts w:eastAsia="Times New Roman"/>
        </w:rPr>
        <w:t xml:space="preserve">er total calories requirement is 1304. According to table 7.3, a woman of her age with a sedentary lifestyle requires 1800 calories. </w:t>
      </w:r>
      <w:r w:rsidR="00CC7610">
        <w:rPr>
          <w:rFonts w:eastAsia="Times New Roman"/>
        </w:rPr>
        <w:t>Acc</w:t>
      </w:r>
      <w:r>
        <w:rPr>
          <w:rFonts w:eastAsia="Times New Roman"/>
        </w:rPr>
        <w:t>ording to me 2</w:t>
      </w:r>
      <w:r w:rsidR="00CC7610">
        <w:rPr>
          <w:rFonts w:eastAsia="Times New Roman"/>
        </w:rPr>
        <w:t>,</w:t>
      </w:r>
      <w:r>
        <w:rPr>
          <w:rFonts w:eastAsia="Times New Roman"/>
        </w:rPr>
        <w:t>000-2,200 calories level is the most accurate since it will allow her to transform from sedentary lifestyle to moderately active lifestyle. She needs to eat 1101</w:t>
      </w:r>
      <w:r w:rsidR="00CC7610">
        <w:rPr>
          <w:rFonts w:eastAsia="Times New Roman"/>
        </w:rPr>
        <w:t xml:space="preserve"> </w:t>
      </w:r>
      <w:r>
        <w:rPr>
          <w:rFonts w:eastAsia="Times New Roman"/>
        </w:rPr>
        <w:t xml:space="preserve">calories to lose 1 pound of weight per week and 601 to lose 2 pounds of weight per week. Losing </w:t>
      </w:r>
      <w:r w:rsidRPr="00D03009">
        <w:rPr>
          <w:rFonts w:eastAsia="Times New Roman"/>
          <w:color w:val="000000"/>
          <w:bdr w:val="none" w:sz="0" w:space="0" w:color="auto" w:frame="1"/>
        </w:rPr>
        <w:t xml:space="preserve">2-pound weight loss per week </w:t>
      </w:r>
      <w:r>
        <w:rPr>
          <w:rFonts w:eastAsia="Times New Roman"/>
          <w:color w:val="000000"/>
          <w:bdr w:val="none" w:sz="0" w:space="0" w:color="auto" w:frame="1"/>
        </w:rPr>
        <w:t xml:space="preserve">is not </w:t>
      </w:r>
      <w:r w:rsidRPr="00D03009">
        <w:rPr>
          <w:rFonts w:eastAsia="Times New Roman"/>
          <w:color w:val="000000"/>
          <w:bdr w:val="none" w:sz="0" w:space="0" w:color="auto" w:frame="1"/>
        </w:rPr>
        <w:t>a reasonable goal</w:t>
      </w:r>
      <w:r>
        <w:rPr>
          <w:rFonts w:eastAsia="Times New Roman"/>
          <w:color w:val="000000"/>
          <w:bdr w:val="none" w:sz="0" w:space="0" w:color="auto" w:frame="1"/>
        </w:rPr>
        <w:t xml:space="preserve"> since it will expose her to metabolic rebound. She needs to consume soups, stews, cooked whole grains, beans, fruits, vegetables, lean meats, fish, poultry, eggs, </w:t>
      </w:r>
      <w:r>
        <w:rPr>
          <w:rFonts w:eastAsia="Times New Roman"/>
          <w:color w:val="000000"/>
          <w:bdr w:val="none" w:sz="0" w:space="0" w:color="auto" w:frame="1"/>
        </w:rPr>
        <w:lastRenderedPageBreak/>
        <w:t xml:space="preserve">whole grains and like popcorns to curb hunger when on fewer calories. She should take one fewer soft drinks a week from the number she used to take and drink more water. </w:t>
      </w:r>
    </w:p>
    <w:p w14:paraId="37FF41D3" w14:textId="77777777" w:rsidR="00B35344" w:rsidRPr="00DE40DB" w:rsidRDefault="00DE40DB" w:rsidP="00CC7610">
      <w:pPr>
        <w:numPr>
          <w:ilvl w:val="0"/>
          <w:numId w:val="3"/>
        </w:numPr>
        <w:spacing w:after="0" w:line="480" w:lineRule="auto"/>
        <w:ind w:left="0"/>
        <w:contextualSpacing/>
        <w:jc w:val="left"/>
        <w:rPr>
          <w:rFonts w:eastAsia="Times New Roman"/>
          <w:b/>
          <w:color w:val="000000"/>
        </w:rPr>
      </w:pPr>
      <w:r w:rsidRPr="00DE40DB">
        <w:rPr>
          <w:rFonts w:eastAsia="Times New Roman"/>
          <w:b/>
          <w:color w:val="000000"/>
        </w:rPr>
        <w:t>Explain supplement regulations. Choose a supplement (from your own home or online) and imagine you are educating your patient who states that she takes the supplement. What should she understand about the items on the label, the packaging, supplement regulations or lack thereof, and interactions or side effects? Attach a picture of the supplement label and packaging you are discussing. Cite at least one scholarly source other than your text using APA. </w:t>
      </w:r>
    </w:p>
    <w:p w14:paraId="568CFF63" w14:textId="045124D4" w:rsidR="006577A0" w:rsidRDefault="00DE40DB" w:rsidP="00CC7610">
      <w:pPr>
        <w:spacing w:after="0" w:line="480" w:lineRule="auto"/>
        <w:ind w:firstLine="720"/>
        <w:contextualSpacing/>
      </w:pPr>
      <w:proofErr w:type="spellStart"/>
      <w:r>
        <w:t>Bradeson</w:t>
      </w:r>
      <w:proofErr w:type="spellEnd"/>
      <w:r>
        <w:t xml:space="preserve"> Naturals is a type of women vitamin </w:t>
      </w:r>
      <w:r w:rsidR="00801CBC">
        <w:t>Supplement</w:t>
      </w:r>
      <w:r>
        <w:t xml:space="preserve"> (Natural Dietary Supplement) that a patient decides to take</w:t>
      </w:r>
      <w:r w:rsidR="00B35344">
        <w:t xml:space="preserve"> (</w:t>
      </w:r>
      <w:r w:rsidR="00B35344" w:rsidRPr="00B35344">
        <w:rPr>
          <w:rFonts w:eastAsia="Times New Roman" w:cs="Times New Roman"/>
          <w:szCs w:val="24"/>
          <w:lang w:eastAsia="en-GB"/>
        </w:rPr>
        <w:t>Kantor,</w:t>
      </w:r>
      <w:r w:rsidR="00B35344">
        <w:t xml:space="preserve"> et al., 2016).</w:t>
      </w:r>
      <w:r>
        <w:t xml:space="preserve"> She needs to read all </w:t>
      </w:r>
      <w:r w:rsidR="00801CBC">
        <w:t>the instructions</w:t>
      </w:r>
      <w:r>
        <w:t xml:space="preserve"> including the </w:t>
      </w:r>
      <w:r w:rsidR="00801CBC">
        <w:t>importance</w:t>
      </w:r>
      <w:r>
        <w:t xml:space="preserve"> of the supplement before consuming. She has to understand the </w:t>
      </w:r>
      <w:r w:rsidR="00801CBC">
        <w:t>supplement</w:t>
      </w:r>
      <w:r>
        <w:t xml:space="preserve"> </w:t>
      </w:r>
      <w:r w:rsidR="00801CBC">
        <w:t>acts</w:t>
      </w:r>
      <w:r>
        <w:t xml:space="preserve"> as a natural energy booster, supports metabolism and bone support, and helps the immune and digestive system</w:t>
      </w:r>
      <w:r w:rsidR="00B35344">
        <w:t xml:space="preserve"> (</w:t>
      </w:r>
      <w:proofErr w:type="spellStart"/>
      <w:r w:rsidR="00B35344" w:rsidRPr="00B35344">
        <w:rPr>
          <w:rFonts w:eastAsia="Times New Roman" w:cs="Times New Roman"/>
          <w:szCs w:val="24"/>
          <w:lang w:eastAsia="en-GB"/>
        </w:rPr>
        <w:t>Kofoed</w:t>
      </w:r>
      <w:proofErr w:type="spellEnd"/>
      <w:r w:rsidR="00B35344">
        <w:t xml:space="preserve"> et al., 2015).</w:t>
      </w:r>
      <w:r>
        <w:t xml:space="preserve"> She has also </w:t>
      </w:r>
      <w:r w:rsidR="00801CBC">
        <w:t>had</w:t>
      </w:r>
      <w:r>
        <w:t xml:space="preserve"> to understan</w:t>
      </w:r>
      <w:r w:rsidR="00395F49">
        <w:t xml:space="preserve">d that the supplement contains a total of 60 capsules and should only be </w:t>
      </w:r>
      <w:r w:rsidR="00801CBC">
        <w:t>taken</w:t>
      </w:r>
      <w:r w:rsidR="00395F49">
        <w:t xml:space="preserve"> by women. </w:t>
      </w:r>
      <w:proofErr w:type="spellStart"/>
      <w:r w:rsidR="00801CBC">
        <w:t>Diarrhea</w:t>
      </w:r>
      <w:proofErr w:type="spellEnd"/>
      <w:r w:rsidR="00395F49">
        <w:t>, Agitation, High blood pressure, and Increased Heart rate are some of the side effects she has to understand.</w:t>
      </w:r>
    </w:p>
    <w:p w14:paraId="7A2E5A98" w14:textId="77777777" w:rsidR="00B35344" w:rsidRDefault="00DE40DB" w:rsidP="00CC7610">
      <w:pPr>
        <w:spacing w:after="0" w:line="480" w:lineRule="auto"/>
        <w:contextualSpacing/>
        <w:jc w:val="center"/>
      </w:pPr>
      <w:r>
        <w:t>References</w:t>
      </w:r>
    </w:p>
    <w:p w14:paraId="5F566D0E" w14:textId="77777777" w:rsidR="00B35344" w:rsidRPr="00B35344" w:rsidRDefault="00DE40DB" w:rsidP="00CC7610">
      <w:pPr>
        <w:spacing w:after="0" w:line="480" w:lineRule="auto"/>
        <w:ind w:left="720" w:hanging="720"/>
        <w:contextualSpacing/>
        <w:jc w:val="left"/>
        <w:rPr>
          <w:rFonts w:eastAsia="Times New Roman" w:cs="Times New Roman"/>
          <w:szCs w:val="24"/>
          <w:lang w:eastAsia="en-GB"/>
        </w:rPr>
      </w:pPr>
      <w:r w:rsidRPr="00B35344">
        <w:rPr>
          <w:rFonts w:eastAsia="Times New Roman" w:cs="Times New Roman"/>
          <w:szCs w:val="24"/>
          <w:lang w:eastAsia="en-GB"/>
        </w:rPr>
        <w:t xml:space="preserve">Kantor, E. D., Rehm, C. D., Du, M., White, E., &amp; </w:t>
      </w:r>
      <w:proofErr w:type="spellStart"/>
      <w:r w:rsidRPr="00B35344">
        <w:rPr>
          <w:rFonts w:eastAsia="Times New Roman" w:cs="Times New Roman"/>
          <w:szCs w:val="24"/>
          <w:lang w:eastAsia="en-GB"/>
        </w:rPr>
        <w:t>Giovannucci</w:t>
      </w:r>
      <w:proofErr w:type="spellEnd"/>
      <w:r w:rsidRPr="00B35344">
        <w:rPr>
          <w:rFonts w:eastAsia="Times New Roman" w:cs="Times New Roman"/>
          <w:szCs w:val="24"/>
          <w:lang w:eastAsia="en-GB"/>
        </w:rPr>
        <w:t xml:space="preserve">, E. L. (2016). Trends in dietary supplement use among US adults from 1999-2012. </w:t>
      </w:r>
      <w:r w:rsidRPr="00B35344">
        <w:rPr>
          <w:rFonts w:eastAsia="Times New Roman" w:cs="Times New Roman"/>
          <w:i/>
          <w:iCs/>
          <w:szCs w:val="24"/>
          <w:lang w:eastAsia="en-GB"/>
        </w:rPr>
        <w:t>Jama</w:t>
      </w:r>
      <w:r w:rsidRPr="00B35344">
        <w:rPr>
          <w:rFonts w:eastAsia="Times New Roman" w:cs="Times New Roman"/>
          <w:szCs w:val="24"/>
          <w:lang w:eastAsia="en-GB"/>
        </w:rPr>
        <w:t xml:space="preserve">, </w:t>
      </w:r>
      <w:r w:rsidRPr="00B35344">
        <w:rPr>
          <w:rFonts w:eastAsia="Times New Roman" w:cs="Times New Roman"/>
          <w:i/>
          <w:iCs/>
          <w:szCs w:val="24"/>
          <w:lang w:eastAsia="en-GB"/>
        </w:rPr>
        <w:t>316</w:t>
      </w:r>
      <w:r w:rsidRPr="00B35344">
        <w:rPr>
          <w:rFonts w:eastAsia="Times New Roman" w:cs="Times New Roman"/>
          <w:szCs w:val="24"/>
          <w:lang w:eastAsia="en-GB"/>
        </w:rPr>
        <w:t>(14), 1464-1474.</w:t>
      </w:r>
    </w:p>
    <w:p w14:paraId="11A2AB66" w14:textId="77777777" w:rsidR="00B35344" w:rsidRPr="00B35344" w:rsidRDefault="00DE40DB" w:rsidP="00CC7610">
      <w:pPr>
        <w:spacing w:after="0" w:line="480" w:lineRule="auto"/>
        <w:ind w:left="720" w:hanging="720"/>
        <w:contextualSpacing/>
        <w:jc w:val="left"/>
        <w:rPr>
          <w:rFonts w:eastAsia="Times New Roman" w:cs="Times New Roman"/>
          <w:szCs w:val="24"/>
          <w:lang w:eastAsia="en-GB"/>
        </w:rPr>
      </w:pPr>
      <w:proofErr w:type="spellStart"/>
      <w:r w:rsidRPr="00B35344">
        <w:rPr>
          <w:rFonts w:eastAsia="Times New Roman" w:cs="Times New Roman"/>
          <w:szCs w:val="24"/>
          <w:lang w:eastAsia="en-GB"/>
        </w:rPr>
        <w:t>Kofoed</w:t>
      </w:r>
      <w:proofErr w:type="spellEnd"/>
      <w:r w:rsidRPr="00B35344">
        <w:rPr>
          <w:rFonts w:eastAsia="Times New Roman" w:cs="Times New Roman"/>
          <w:szCs w:val="24"/>
          <w:lang w:eastAsia="en-GB"/>
        </w:rPr>
        <w:t xml:space="preserve">, C. L., Christensen, J., </w:t>
      </w:r>
      <w:proofErr w:type="spellStart"/>
      <w:r w:rsidRPr="00B35344">
        <w:rPr>
          <w:rFonts w:eastAsia="Times New Roman" w:cs="Times New Roman"/>
          <w:szCs w:val="24"/>
          <w:lang w:eastAsia="en-GB"/>
        </w:rPr>
        <w:t>Dragsted</w:t>
      </w:r>
      <w:proofErr w:type="spellEnd"/>
      <w:r w:rsidRPr="00B35344">
        <w:rPr>
          <w:rFonts w:eastAsia="Times New Roman" w:cs="Times New Roman"/>
          <w:szCs w:val="24"/>
          <w:lang w:eastAsia="en-GB"/>
        </w:rPr>
        <w:t xml:space="preserve">, L. O., </w:t>
      </w:r>
      <w:proofErr w:type="spellStart"/>
      <w:r w:rsidRPr="00B35344">
        <w:rPr>
          <w:rFonts w:eastAsia="Times New Roman" w:cs="Times New Roman"/>
          <w:szCs w:val="24"/>
          <w:lang w:eastAsia="en-GB"/>
        </w:rPr>
        <w:t>Tjønneland</w:t>
      </w:r>
      <w:proofErr w:type="spellEnd"/>
      <w:r w:rsidRPr="00B35344">
        <w:rPr>
          <w:rFonts w:eastAsia="Times New Roman" w:cs="Times New Roman"/>
          <w:szCs w:val="24"/>
          <w:lang w:eastAsia="en-GB"/>
        </w:rPr>
        <w:t xml:space="preserve">, A., &amp; </w:t>
      </w:r>
      <w:proofErr w:type="spellStart"/>
      <w:r w:rsidRPr="00B35344">
        <w:rPr>
          <w:rFonts w:eastAsia="Times New Roman" w:cs="Times New Roman"/>
          <w:szCs w:val="24"/>
          <w:lang w:eastAsia="en-GB"/>
        </w:rPr>
        <w:t>Roswall</w:t>
      </w:r>
      <w:proofErr w:type="spellEnd"/>
      <w:r w:rsidRPr="00B35344">
        <w:rPr>
          <w:rFonts w:eastAsia="Times New Roman" w:cs="Times New Roman"/>
          <w:szCs w:val="24"/>
          <w:lang w:eastAsia="en-GB"/>
        </w:rPr>
        <w:t xml:space="preserve">, N. (2015). Determinants of dietary supplement use–healthy individuals use dietary supplements. </w:t>
      </w:r>
      <w:r w:rsidRPr="00B35344">
        <w:rPr>
          <w:rFonts w:eastAsia="Times New Roman" w:cs="Times New Roman"/>
          <w:i/>
          <w:iCs/>
          <w:szCs w:val="24"/>
          <w:lang w:eastAsia="en-GB"/>
        </w:rPr>
        <w:t>British Journal of Nutrition</w:t>
      </w:r>
      <w:r w:rsidRPr="00B35344">
        <w:rPr>
          <w:rFonts w:eastAsia="Times New Roman" w:cs="Times New Roman"/>
          <w:szCs w:val="24"/>
          <w:lang w:eastAsia="en-GB"/>
        </w:rPr>
        <w:t xml:space="preserve">, </w:t>
      </w:r>
      <w:r w:rsidRPr="00B35344">
        <w:rPr>
          <w:rFonts w:eastAsia="Times New Roman" w:cs="Times New Roman"/>
          <w:i/>
          <w:iCs/>
          <w:szCs w:val="24"/>
          <w:lang w:eastAsia="en-GB"/>
        </w:rPr>
        <w:t>113</w:t>
      </w:r>
      <w:r w:rsidRPr="00B35344">
        <w:rPr>
          <w:rFonts w:eastAsia="Times New Roman" w:cs="Times New Roman"/>
          <w:szCs w:val="24"/>
          <w:lang w:eastAsia="en-GB"/>
        </w:rPr>
        <w:t>(12), 1993-2000.</w:t>
      </w:r>
    </w:p>
    <w:p w14:paraId="28961E74" w14:textId="77777777" w:rsidR="00B35344" w:rsidRDefault="00B35344" w:rsidP="00CC7610">
      <w:pPr>
        <w:spacing w:after="0" w:line="480" w:lineRule="auto"/>
        <w:contextualSpacing/>
      </w:pPr>
    </w:p>
    <w:p w14:paraId="221B1D09" w14:textId="77777777" w:rsidR="00B35344" w:rsidRDefault="00B35344" w:rsidP="00CC7610">
      <w:pPr>
        <w:spacing w:after="0" w:line="480" w:lineRule="auto"/>
        <w:contextualSpacing/>
      </w:pPr>
    </w:p>
    <w:p w14:paraId="0535B465" w14:textId="77777777" w:rsidR="00395F49" w:rsidRDefault="00DE40DB" w:rsidP="00CC7610">
      <w:pPr>
        <w:spacing w:after="0" w:line="480" w:lineRule="auto"/>
        <w:contextualSpacing/>
        <w:jc w:val="center"/>
      </w:pPr>
      <w:r>
        <w:rPr>
          <w:noProof/>
          <w:lang w:eastAsia="en-GB"/>
        </w:rPr>
        <w:lastRenderedPageBreak/>
        <w:drawing>
          <wp:inline distT="0" distB="0" distL="0" distR="0" wp14:anchorId="62BA3737" wp14:editId="2FF6CA62">
            <wp:extent cx="1266190" cy="2304237"/>
            <wp:effectExtent l="0" t="0" r="0" b="1270"/>
            <wp:docPr id="1" name="Picture 1" descr="https://images-na.ssl-images-amazon.com/images/I/81iMqbbf9oL._SY60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03867" name="Picture 1" descr="https://images-na.ssl-images-amazon.com/images/I/81iMqbbf9oL._SY606_.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09094" cy="2382314"/>
                    </a:xfrm>
                    <a:prstGeom prst="rect">
                      <a:avLst/>
                    </a:prstGeom>
                    <a:noFill/>
                    <a:ln>
                      <a:noFill/>
                    </a:ln>
                  </pic:spPr>
                </pic:pic>
              </a:graphicData>
            </a:graphic>
          </wp:inline>
        </w:drawing>
      </w:r>
    </w:p>
    <w:p w14:paraId="78563D29" w14:textId="77777777" w:rsidR="00DE40DB" w:rsidRPr="00DE40DB" w:rsidRDefault="00DE40DB" w:rsidP="00CC7610">
      <w:pPr>
        <w:pStyle w:val="ListParagraph"/>
        <w:numPr>
          <w:ilvl w:val="0"/>
          <w:numId w:val="3"/>
        </w:numPr>
        <w:spacing w:line="480" w:lineRule="auto"/>
        <w:rPr>
          <w:b/>
        </w:rPr>
      </w:pPr>
      <w:r w:rsidRPr="00DE40DB">
        <w:rPr>
          <w:rFonts w:eastAsia="Times New Roman"/>
          <w:b/>
          <w:color w:val="000000"/>
        </w:rPr>
        <w:t>Locate an article that explores issues related to culture and religion in healthcare settings. Provide a summary of the article along with a link to the article. What concerns are raised? How are conflicts resolved or not resolved? How does the information you learned in the article shape your views on culture and religion in health care? Choose an article that comes from a credible</w:t>
      </w:r>
    </w:p>
    <w:p w14:paraId="1F75501F" w14:textId="77777777" w:rsidR="00395F49" w:rsidRDefault="00DE40DB" w:rsidP="00CC7610">
      <w:pPr>
        <w:spacing w:after="0" w:line="480" w:lineRule="auto"/>
        <w:ind w:firstLine="720"/>
        <w:contextualSpacing/>
      </w:pPr>
      <w:r>
        <w:t xml:space="preserve">An article from the </w:t>
      </w:r>
      <w:r w:rsidR="00480F04">
        <w:t>Guardian titled Keeping t</w:t>
      </w:r>
      <w:r>
        <w:t xml:space="preserve">he Faith </w:t>
      </w:r>
      <w:r w:rsidR="00480F04">
        <w:t>discusses</w:t>
      </w:r>
      <w:r>
        <w:t xml:space="preserve"> how some </w:t>
      </w:r>
      <w:r w:rsidR="00801CBC">
        <w:t>patients</w:t>
      </w:r>
      <w:r>
        <w:t xml:space="preserve"> are always prepared </w:t>
      </w:r>
      <w:r w:rsidR="00480F04">
        <w:t>to die rather than accepting</w:t>
      </w:r>
      <w:r>
        <w:t xml:space="preserve"> </w:t>
      </w:r>
      <w:r w:rsidR="00480F04">
        <w:t>treatment</w:t>
      </w:r>
      <w:r>
        <w:t xml:space="preserve"> options that are against their beliefs. Most patients are strict to their </w:t>
      </w:r>
      <w:r w:rsidR="00480F04">
        <w:t>cultures</w:t>
      </w:r>
      <w:r>
        <w:t xml:space="preserve"> </w:t>
      </w:r>
      <w:r w:rsidR="00480F04">
        <w:t>and religions</w:t>
      </w:r>
      <w:r>
        <w:t xml:space="preserve"> which makes </w:t>
      </w:r>
      <w:proofErr w:type="spellStart"/>
      <w:r>
        <w:t>Emine</w:t>
      </w:r>
      <w:proofErr w:type="spellEnd"/>
      <w:r>
        <w:t xml:space="preserve"> Saner in the </w:t>
      </w:r>
      <w:r w:rsidR="00801CBC">
        <w:t xml:space="preserve">article </w:t>
      </w:r>
      <w:r>
        <w:t xml:space="preserve">to explore the dilemma that doctors face when medical ethics clash with cultural and </w:t>
      </w:r>
      <w:r w:rsidR="00801CBC">
        <w:t>religious</w:t>
      </w:r>
      <w:r>
        <w:t xml:space="preserve"> mores. The article resolves the clashes by identifying that doctors </w:t>
      </w:r>
      <w:r w:rsidR="00480F04">
        <w:t>have</w:t>
      </w:r>
      <w:r>
        <w:t xml:space="preserve"> to respect the religious and cultural </w:t>
      </w:r>
      <w:r w:rsidR="00480F04">
        <w:t>believes</w:t>
      </w:r>
      <w:r>
        <w:t xml:space="preserve"> of the patients, but in the cases where parents refuse consent for a child's critical care, the medical professional can go to the court.</w:t>
      </w:r>
      <w:r w:rsidR="00A1157A">
        <w:t xml:space="preserve"> The article concludes that doctors have to respect </w:t>
      </w:r>
      <w:r w:rsidR="00480F04">
        <w:t>patients’</w:t>
      </w:r>
      <w:r w:rsidR="00A1157A">
        <w:t xml:space="preserve"> cultures and religious beliefs. </w:t>
      </w:r>
    </w:p>
    <w:p w14:paraId="728F8369" w14:textId="77777777" w:rsidR="00B35344" w:rsidRDefault="00DE40DB" w:rsidP="00CC7610">
      <w:pPr>
        <w:pStyle w:val="cpformat"/>
        <w:spacing w:before="0" w:beforeAutospacing="0" w:after="0" w:afterAutospacing="0" w:line="480" w:lineRule="auto"/>
        <w:ind w:left="720" w:right="75" w:hanging="720"/>
        <w:contextualSpacing/>
        <w:jc w:val="center"/>
      </w:pPr>
      <w:r>
        <w:t>Reference</w:t>
      </w:r>
    </w:p>
    <w:p w14:paraId="06B13E4C" w14:textId="77777777" w:rsidR="00B35344" w:rsidRDefault="00DE40DB" w:rsidP="00CC7610">
      <w:pPr>
        <w:pStyle w:val="cpformat"/>
        <w:spacing w:before="0" w:beforeAutospacing="0" w:after="0" w:afterAutospacing="0" w:line="480" w:lineRule="auto"/>
        <w:ind w:left="720" w:right="75" w:hanging="720"/>
        <w:contextualSpacing/>
      </w:pPr>
      <w:r>
        <w:t xml:space="preserve">Saner, E. (2017, November 25). </w:t>
      </w:r>
      <w:proofErr w:type="spellStart"/>
      <w:r>
        <w:t>Emine</w:t>
      </w:r>
      <w:proofErr w:type="spellEnd"/>
      <w:r>
        <w:t xml:space="preserve"> Saner: When medical ethics clash with religious and cultural mores. Retrieved from </w:t>
      </w:r>
      <w:hyperlink r:id="rId8" w:history="1">
        <w:r w:rsidRPr="00B47009">
          <w:rPr>
            <w:rStyle w:val="Hyperlink"/>
          </w:rPr>
          <w:t>https://www.theguardian.com/society/2007/mar/20/health.lifeandhealth</w:t>
        </w:r>
      </w:hyperlink>
      <w:r>
        <w:t xml:space="preserve"> </w:t>
      </w:r>
    </w:p>
    <w:sectPr w:rsidR="00B35344" w:rsidSect="00CC761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38F85" w14:textId="77777777" w:rsidR="00D22280" w:rsidRDefault="00D22280" w:rsidP="00CC7610">
      <w:pPr>
        <w:spacing w:after="0" w:line="240" w:lineRule="auto"/>
      </w:pPr>
      <w:r>
        <w:separator/>
      </w:r>
    </w:p>
  </w:endnote>
  <w:endnote w:type="continuationSeparator" w:id="0">
    <w:p w14:paraId="0859D5E9" w14:textId="77777777" w:rsidR="00D22280" w:rsidRDefault="00D22280" w:rsidP="00CC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162F" w14:textId="77777777" w:rsidR="00D22280" w:rsidRDefault="00D22280" w:rsidP="00CC7610">
      <w:pPr>
        <w:spacing w:after="0" w:line="240" w:lineRule="auto"/>
      </w:pPr>
      <w:r>
        <w:separator/>
      </w:r>
    </w:p>
  </w:footnote>
  <w:footnote w:type="continuationSeparator" w:id="0">
    <w:p w14:paraId="2E424436" w14:textId="77777777" w:rsidR="00D22280" w:rsidRDefault="00D22280" w:rsidP="00CC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EC3C8" w14:textId="77777777" w:rsidR="00CC7610" w:rsidRDefault="00CC7610" w:rsidP="00CC7610">
    <w:pPr>
      <w:pStyle w:val="Header"/>
    </w:pPr>
    <w:r>
      <w:t>HW W2</w:t>
    </w:r>
    <w:r>
      <w:tab/>
    </w:r>
    <w:r>
      <w:tab/>
    </w:r>
    <w:r>
      <w:fldChar w:fldCharType="begin"/>
    </w:r>
    <w:r>
      <w:instrText xml:space="preserve"> PAGE   \* MERGEFORMAT </w:instrText>
    </w:r>
    <w:r>
      <w:fldChar w:fldCharType="separate"/>
    </w:r>
    <w:r>
      <w:t>1</w:t>
    </w:r>
    <w:r>
      <w:rPr>
        <w:noProof/>
      </w:rPr>
      <w:fldChar w:fldCharType="end"/>
    </w:r>
  </w:p>
  <w:p w14:paraId="68649A42" w14:textId="77777777" w:rsidR="00CC7610" w:rsidRDefault="00CC7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7051D" w14:textId="2216461F" w:rsidR="00CC7610" w:rsidRDefault="00CC7610">
    <w:pPr>
      <w:pStyle w:val="Header"/>
    </w:pPr>
    <w:r>
      <w:t>Running head: HW W2</w:t>
    </w: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507D5"/>
    <w:multiLevelType w:val="multilevel"/>
    <w:tmpl w:val="5022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6F3427"/>
    <w:multiLevelType w:val="hybridMultilevel"/>
    <w:tmpl w:val="7A4A00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93E1BA1"/>
    <w:multiLevelType w:val="multilevel"/>
    <w:tmpl w:val="4F6E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F6A"/>
    <w:rsid w:val="00374675"/>
    <w:rsid w:val="00395F49"/>
    <w:rsid w:val="00480F04"/>
    <w:rsid w:val="006577A0"/>
    <w:rsid w:val="00801CBC"/>
    <w:rsid w:val="008353F7"/>
    <w:rsid w:val="00945F6A"/>
    <w:rsid w:val="00A1157A"/>
    <w:rsid w:val="00A807C7"/>
    <w:rsid w:val="00AA2C14"/>
    <w:rsid w:val="00B35344"/>
    <w:rsid w:val="00B47009"/>
    <w:rsid w:val="00CC7610"/>
    <w:rsid w:val="00D03009"/>
    <w:rsid w:val="00D22280"/>
    <w:rsid w:val="00DE40DB"/>
    <w:rsid w:val="00E361E6"/>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B86E"/>
  <w15:chartTrackingRefBased/>
  <w15:docId w15:val="{3A128EEC-25B9-401C-B26E-6C9FD37E7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35344"/>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B35344"/>
    <w:rPr>
      <w:color w:val="0000FF" w:themeColor="hyperlink"/>
      <w:u w:val="single"/>
    </w:rPr>
  </w:style>
  <w:style w:type="paragraph" w:styleId="ListParagraph">
    <w:name w:val="List Paragraph"/>
    <w:basedOn w:val="Normal"/>
    <w:uiPriority w:val="34"/>
    <w:qFormat/>
    <w:rsid w:val="00DE40DB"/>
    <w:pPr>
      <w:spacing w:after="0" w:line="240" w:lineRule="auto"/>
      <w:ind w:left="720"/>
      <w:contextualSpacing/>
      <w:jc w:val="left"/>
    </w:pPr>
    <w:rPr>
      <w:rFonts w:cs="Times New Roman"/>
      <w:szCs w:val="24"/>
      <w:lang w:val="en-US"/>
    </w:rPr>
  </w:style>
  <w:style w:type="paragraph" w:styleId="Header">
    <w:name w:val="header"/>
    <w:basedOn w:val="Normal"/>
    <w:link w:val="HeaderChar"/>
    <w:uiPriority w:val="99"/>
    <w:unhideWhenUsed/>
    <w:rsid w:val="00CC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10"/>
    <w:rPr>
      <w:rFonts w:ascii="Times New Roman" w:hAnsi="Times New Roman"/>
      <w:sz w:val="24"/>
    </w:rPr>
  </w:style>
  <w:style w:type="paragraph" w:styleId="Footer">
    <w:name w:val="footer"/>
    <w:basedOn w:val="Normal"/>
    <w:link w:val="FooterChar"/>
    <w:uiPriority w:val="99"/>
    <w:unhideWhenUsed/>
    <w:rsid w:val="00CC7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1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society/2007/mar/20/health.lifeandhealth"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2018-11-06T15:40:00Z</dcterms:created>
  <dcterms:modified xsi:type="dcterms:W3CDTF">2018-11-06T15:40:00Z</dcterms:modified>
</cp:coreProperties>
</file>